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923E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CB32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ий округ за 201</w:t>
      </w:r>
      <w:r w:rsidR="00CB32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816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DA4544" w:rsidRDefault="00CB3207" w:rsidP="00816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="00AB745F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DA4544" w:rsidRDefault="00C61476" w:rsidP="00816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DA4544" w:rsidRDefault="00C61476" w:rsidP="008167EB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8167EB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Местный бюджет муниципального образования Финляндский округ на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Муниципального совета муниципального образования Финляндский округ от 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17.11.2015 г. № 25 «Об утверждении местного бюджета муниципального образования Финляндский округ на 2016 год». Основные параметры местного бюджета на 2016 год были утверждены по доходам в общей сумме 122 240,7 тыс. руб. и по расходам в общей сумме 122 240,7 тыс. руб.</w:t>
      </w:r>
    </w:p>
    <w:p w:rsidR="00356619" w:rsidRPr="00356619" w:rsidRDefault="00923EBF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исполнения местного бюджета в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него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раз решениями Муниципального совета вносились изменения, в результате которых доходы и расходы 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увеличены на 1 921,0 тыс. руб. и составили по 124 161,7 тыс. руб. соответственно.</w:t>
      </w:r>
    </w:p>
    <w:p w:rsidR="00356619" w:rsidRDefault="00923EBF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Местный бюджет муниципального образования Финляндский округ за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исполнен по доходам в сумме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134 077,8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на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108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годовых бюджетных назначений, по расходам в сумме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119 777,6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 на 9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6,5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В результате исполнения бюджета сложился профицит в размере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14 300,2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Объем неосвоенных в 201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бюдж</w:t>
      </w:r>
      <w:r w:rsidR="00095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етных ассигнований </w:t>
      </w:r>
      <w:r w:rsidR="0009524B"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оставил </w:t>
      </w:r>
      <w:r w:rsid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>2 463,1</w:t>
      </w:r>
      <w:r w:rsidR="00356619"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proofErr w:type="gramEnd"/>
    </w:p>
    <w:p w:rsidR="007244CB" w:rsidRPr="007244CB" w:rsidRDefault="007244CB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объем (7</w:t>
      </w:r>
      <w:r w:rsidR="000366C7"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доходов сформирован за счет налоговых поступлений, составивших </w:t>
      </w:r>
      <w:r w:rsidR="000366C7"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105 882,4</w:t>
      </w:r>
      <w:r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Доля неналоговых доходов составила </w:t>
      </w:r>
      <w:r w:rsidR="000366C7"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5,2</w:t>
      </w:r>
      <w:r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% (</w:t>
      </w:r>
      <w:r w:rsidR="000366C7"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7 073,1</w:t>
      </w:r>
      <w:r w:rsidRP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 тыс. руб.), безвозмездных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поступлений – 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>% (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21 122,3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 В структуре 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налоговых доходов местного бюджета основной удельный вес –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,2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>% (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85 945,0</w:t>
      </w:r>
      <w:r w:rsidRPr="002C4F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 составили налоги на совокупный доход.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налогу, взимаемому с налогоплательщиков, выбравших в качестве объекта налогообложения доходы (в том числе за налоговые периоды, истекшие до 1 января 2011 года) и налогу, взимаемому с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налогоплательщиков, выбравших в качестве объекта налогообложения доходы, уменьшенные на величину расходов (в том числе за налоговые периоды, истекшие до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2011 года) составили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108,5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115,7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% соответственно, от запланированного</w:t>
      </w:r>
      <w:proofErr w:type="gramEnd"/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годового объема. Исполнение доходной части бюджета по единому налогу на вмененный доход для отдельных видов деятельности (в том числе за налоговые периоды, истекшие до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</w:t>
      </w:r>
      <w:r w:rsidR="00095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аря 2011 года) выполнено на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98,7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от запланированного годового объема. Поступления </w:t>
      </w:r>
      <w:r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proofErr w:type="gramStart"/>
      <w:r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минимальному налогу, зачисляемому в бюджеты субъектов Ро</w:t>
      </w:r>
      <w:r w:rsidR="0009524B"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>ссийской Федерации составили</w:t>
      </w:r>
      <w:proofErr w:type="gramEnd"/>
      <w:r w:rsidR="0009524B"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100,3</w:t>
      </w:r>
      <w:r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7244CB" w:rsidRP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Поступления по налогу, взимаемому в связи с применением патентной системы налогообложения</w:t>
      </w:r>
      <w:r w:rsid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составили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144,7</w:t>
      </w:r>
      <w:r w:rsidR="007244CB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запланированного годового объема.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муниципальному образованию Финляндский округ Законом Санкт-Петербурга «О бюджете Санкт-Петербурга на 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9524B"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были предусмотрены сре</w:t>
      </w:r>
      <w:r w:rsidR="0009524B"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дства субвенций в сумме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21 463,1</w:t>
      </w:r>
      <w:r w:rsidRP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Решением Муниципального совета муниципального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 «Об утверждении местного бюджета муниципального образования Финляндский округ</w:t>
      </w:r>
      <w:r w:rsid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были предусмотрены за счёт средств межбюджетных трансфертов расходы: </w:t>
      </w:r>
      <w:proofErr w:type="gramEnd"/>
    </w:p>
    <w:p w:rsidR="00356619" w:rsidRPr="00356619" w:rsidRDefault="0009524B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4 799,8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организацию и осуществление деятельности по опеке и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попечительству; </w:t>
      </w:r>
    </w:p>
    <w:p w:rsidR="00356619" w:rsidRPr="00356619" w:rsidRDefault="0009524B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12 092,0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содержание ребенка в семье опекуна и приемной семье; </w:t>
      </w:r>
    </w:p>
    <w:p w:rsidR="00356619" w:rsidRPr="00356619" w:rsidRDefault="0009524B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4 258,8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выплату вознаграждения, причитающегося приемному родителю; </w:t>
      </w:r>
    </w:p>
    <w:p w:rsidR="00356619" w:rsidRDefault="0009524B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6,0</w:t>
      </w:r>
      <w:r w:rsidR="00356619"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составление протоколов об административных правонарушениях.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Остаток средств межбюджетных трансфертов, не использованных по состоянию на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01.01.201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F2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составил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340,8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числе: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организацию и осуществление деятельности по опеке и попечительству –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34,3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(остаток средств, предназначенных для уплаты начислений на заработную плату); </w:t>
      </w:r>
    </w:p>
    <w:p w:rsidR="008E72A8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выплату </w:t>
      </w:r>
      <w:r w:rsidR="008E72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денежных средств на содержание ребенка в семье опекуна и приемной семье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227,7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0366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366C7" w:rsidRDefault="000366C7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выплату вознаграждения приемным родителям – 78,8 тыс. руб.</w:t>
      </w:r>
    </w:p>
    <w:p w:rsidR="00356619" w:rsidRPr="006745B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Фактический наибольший удельный вес в разрезе разделов ведомственной структуры расходов в 201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составили расходы: </w:t>
      </w:r>
    </w:p>
    <w:p w:rsidR="00356619" w:rsidRPr="006745B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благоустройство –</w:t>
      </w:r>
      <w:r w:rsidR="006745B9"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745B9"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,5</w:t>
      </w: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6745B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общегосударственные вопросы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23,4</w:t>
      </w: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6745B9" w:rsidRDefault="00843982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социальную политику –</w:t>
      </w:r>
      <w:r w:rsidR="006745B9"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14,7</w:t>
      </w:r>
      <w:r w:rsidR="00356619"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6745B9" w:rsidRDefault="00843982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культуру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356619" w:rsidRPr="006745B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средства массовой информации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1,5</w:t>
      </w: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D768DE" w:rsidRDefault="00843982" w:rsidP="008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5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образование – </w:t>
      </w:r>
      <w:r w:rsidR="006745B9"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356619"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6619" w:rsidRPr="00D768DE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запланированного годового объема по</w:t>
      </w:r>
      <w:r w:rsidR="00E52E31"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разделам составили: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общегосударственные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вопросы – 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99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защита населения и территории от ЧС, ГО – 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- о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бразование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88,8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культура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99,7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социальная политика – 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,3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%; </w:t>
      </w:r>
    </w:p>
    <w:p w:rsidR="00C9075A" w:rsidRPr="00356619" w:rsidRDefault="00C9075A" w:rsidP="00C90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физическая культура и спорт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99,9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43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массовой информации – </w:t>
      </w:r>
      <w:r w:rsidR="00AC7043">
        <w:rPr>
          <w:rFonts w:ascii="Times New Roman" w:eastAsia="Times New Roman" w:hAnsi="Times New Roman" w:cs="Times New Roman"/>
          <w:sz w:val="24"/>
          <w:szCs w:val="24"/>
          <w:lang w:eastAsia="ar-SA"/>
        </w:rPr>
        <w:t>99,9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Средства резервного фонда не израсходованы.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0100 «Общегосударственные вопросы» основная часть ассигнований была направлена на содержание и обеспечение деятельности органов местного самоуправления.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ассигнования направлялись на проведение публичных слушаний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265,7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руб.), на осуществление закупок товаров, работ и услуг для обеспечения муниципальных нужд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55,0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 По данному разделу в рамках муниципальных программ производились расходы </w:t>
      </w:r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периодические издания, учрежденные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ОМСУ (580,9 тыс. руб.); 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экстремизма, а также минимизацию и (или) ликвидацию последствий проявления терроризма и экстремизма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49,0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деятельности по профилактике правонарушений (15,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proofErr w:type="gramStart"/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мероприятиях по профилактике незаконного потребления наркотических средств и психотропных веществ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13,2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 по профилактике дорожно-транспортного травматизма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73,5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(196,0 тыс. руб.).</w:t>
      </w:r>
      <w:proofErr w:type="gramEnd"/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030</w:t>
      </w:r>
      <w:r w:rsidR="00072A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907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ассигнования в сумме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24,5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мероприятия в области защиты населения и территории муниципального образования от чрезвычайных ситуаций, гражданской обороны. </w:t>
      </w:r>
    </w:p>
    <w:p w:rsidR="004E2792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 0500 «Жилищно-коммунальное хозяйство» наибольший объем ассигнований израсходован на благоустройство придомовых и дворовых территорий муниципального образования –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37 006,8</w:t>
      </w:r>
      <w:r w:rsidRP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составило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55,6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разделу. На </w:t>
      </w:r>
      <w:r w:rsidR="00072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зон отдыха, 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обустройство, содержание и уборку детских и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спортивных площадок на территории муниципального образования было затрачено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12 428,8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18,7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 разделу. На проведение санитарных рубок и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72AB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компенсационное озеленение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затрачено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16 457,4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24,7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объёме по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разделу.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обеспечение санитарного благополучия населения затрачено 643,3 тыс. руб. или 1% в общем объеме по разделу.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0700 «Образование» большая часть ассигнований была направлена на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военно-патриотическому воспитанию молодежи на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муниципального образования – </w:t>
      </w:r>
      <w:r w:rsidR="00E003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 267,1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66,8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% в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общем объеме по разделу.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производились расходы на повышение квалификации муниципальных служащих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,0 тыс. руб.); </w:t>
      </w:r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(2,9 тыс. руб.); на участие в деятельности по профилактике правонарушений (120,0 тыс. руб.); </w:t>
      </w:r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мероприятиях по профилактике незаконного потребления наркотических средств и психотропных веществ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(36,9 тыс. руб.); </w:t>
      </w:r>
      <w:proofErr w:type="gramStart"/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реализации мероприятий по охране здоровья граждан от воздействия окружающего табачного дыма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(5,8 тыс. руб.); 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информирование населения о вреде потребления табака и вредном воздействии окружающего табачного дыма (15,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="004E2792" w:rsidRP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реализации мер по профилактике дорожно-транспортного травматизма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(54,0 тыс. руб.); 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организацию и проведение досуговых мероприятий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184,7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proofErr w:type="gramEnd"/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периодические издания, учрежденные ОМСУ (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186,2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0800 «Культура, кинематография» ассигнования были направлены на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местных и участие в организации и проведении городских праздничных и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иных зрелищных мероприятий в сумме </w:t>
      </w:r>
      <w:r w:rsidR="004E2792">
        <w:rPr>
          <w:rFonts w:ascii="Times New Roman" w:eastAsia="Times New Roman" w:hAnsi="Times New Roman" w:cs="Times New Roman"/>
          <w:sz w:val="24"/>
          <w:szCs w:val="24"/>
          <w:lang w:eastAsia="ar-SA"/>
        </w:rPr>
        <w:t>3 090,1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>(8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6,7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организацию досуговых мероприятий в сумме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474,8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13,3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>%).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1000 «Социальная политика» средства были израсходованы </w:t>
      </w:r>
      <w:proofErr w:type="gramStart"/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выплату ежемесячной доплаты за стаж работы в органах МСУ муниципального образования к трудовой пенсии по старости – </w:t>
      </w:r>
      <w:r w:rsidR="000B64A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 301,0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7,4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содержание ребенка в семье опекуна и приемной семье –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12 092,0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68,5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выплату вознаграждения, причитающегося приемному родителю –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4 258,8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 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24,1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%).</w:t>
      </w:r>
    </w:p>
    <w:p w:rsidR="00356619" w:rsidRPr="0035661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 разделу 1100 «Физическая культура и спорт» ассигнования в сумме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294,2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создание условий для развития на территории муниципального образования массовой физической культуры и спорта.</w:t>
      </w:r>
    </w:p>
    <w:p w:rsidR="008167EB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1200 «Средства массовой информации» ассигнования в сумме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1 789,2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 были израсходованы на периодические издания, учрежденные органами местного самоуправления.</w:t>
      </w:r>
    </w:p>
    <w:p w:rsidR="00C61476" w:rsidRPr="00DA4544" w:rsidRDefault="00996DE4" w:rsidP="008167E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DD328A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96DE4"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Default="00DD328A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Неосвоенные в 201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бюджетные средства составили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4 384,1</w:t>
      </w:r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>3,5</w:t>
      </w:r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 утвержденных годовых назначений, в основном, по подразделу 0503 «Благоустройство» в сумме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3 538,7 тыс. руб.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Неисполнение бюджетных ассигнований по расходам обусловлено, в основном,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поступлением </w:t>
      </w:r>
      <w:r w:rsidR="001E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большой доли 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доходов в конце </w:t>
      </w:r>
      <w:r w:rsidR="001E5B3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финансового года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 </w:t>
      </w:r>
      <w:r w:rsidR="001E5B3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достаточностью сроков для</w:t>
      </w:r>
      <w:r w:rsidR="003D5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размещения муниципального заказа.</w:t>
      </w:r>
      <w:proofErr w:type="gramEnd"/>
    </w:p>
    <w:p w:rsidR="00DD328A" w:rsidRPr="00DA4544" w:rsidRDefault="00DD328A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2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проверки выявлено, что главными администраторами бюджетных средств и финансовым органом ВМО при формировании годовой бюджетной отчетности допущены нарушения общих требований к бухгалтерской отчетности экономического субъекта.</w:t>
      </w:r>
    </w:p>
    <w:p w:rsidR="004D4AF7" w:rsidRPr="00DA4544" w:rsidRDefault="00C61476" w:rsidP="008167E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2C4F13" w:rsidRPr="00DA4544" w:rsidRDefault="00C61476" w:rsidP="0081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2C4F13" w:rsidRPr="00DA4544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366C7"/>
    <w:rsid w:val="00072AB3"/>
    <w:rsid w:val="00087746"/>
    <w:rsid w:val="0009524B"/>
    <w:rsid w:val="000B64AE"/>
    <w:rsid w:val="000C55F5"/>
    <w:rsid w:val="000D18C4"/>
    <w:rsid w:val="000F2003"/>
    <w:rsid w:val="00116DEE"/>
    <w:rsid w:val="00193801"/>
    <w:rsid w:val="001C71D1"/>
    <w:rsid w:val="001D6634"/>
    <w:rsid w:val="001E5B39"/>
    <w:rsid w:val="002246C2"/>
    <w:rsid w:val="002C4F13"/>
    <w:rsid w:val="00356619"/>
    <w:rsid w:val="003D57ED"/>
    <w:rsid w:val="003F4033"/>
    <w:rsid w:val="00403765"/>
    <w:rsid w:val="004131D4"/>
    <w:rsid w:val="00425692"/>
    <w:rsid w:val="0045591C"/>
    <w:rsid w:val="004D4AF7"/>
    <w:rsid w:val="004E2792"/>
    <w:rsid w:val="004E3D31"/>
    <w:rsid w:val="004F26A9"/>
    <w:rsid w:val="004F3D4B"/>
    <w:rsid w:val="00506017"/>
    <w:rsid w:val="0052560D"/>
    <w:rsid w:val="00624E1A"/>
    <w:rsid w:val="00651FE7"/>
    <w:rsid w:val="006745B9"/>
    <w:rsid w:val="006B6C91"/>
    <w:rsid w:val="006E3B1C"/>
    <w:rsid w:val="006F236E"/>
    <w:rsid w:val="00703663"/>
    <w:rsid w:val="007244CB"/>
    <w:rsid w:val="007445A8"/>
    <w:rsid w:val="008167EB"/>
    <w:rsid w:val="00843982"/>
    <w:rsid w:val="00853AEB"/>
    <w:rsid w:val="008634F5"/>
    <w:rsid w:val="0088624A"/>
    <w:rsid w:val="008E72A8"/>
    <w:rsid w:val="00912851"/>
    <w:rsid w:val="00923EBF"/>
    <w:rsid w:val="00996DE4"/>
    <w:rsid w:val="009C1FF1"/>
    <w:rsid w:val="009C6B29"/>
    <w:rsid w:val="009D0402"/>
    <w:rsid w:val="009F0EDA"/>
    <w:rsid w:val="00AB745F"/>
    <w:rsid w:val="00AC289D"/>
    <w:rsid w:val="00AC7043"/>
    <w:rsid w:val="00AD5E34"/>
    <w:rsid w:val="00B57495"/>
    <w:rsid w:val="00B64C91"/>
    <w:rsid w:val="00BF1F5E"/>
    <w:rsid w:val="00C57A5B"/>
    <w:rsid w:val="00C61476"/>
    <w:rsid w:val="00C9075A"/>
    <w:rsid w:val="00CA3590"/>
    <w:rsid w:val="00CB3207"/>
    <w:rsid w:val="00D768DE"/>
    <w:rsid w:val="00D84A76"/>
    <w:rsid w:val="00D916D6"/>
    <w:rsid w:val="00DA4544"/>
    <w:rsid w:val="00DD328A"/>
    <w:rsid w:val="00DE7118"/>
    <w:rsid w:val="00E0035F"/>
    <w:rsid w:val="00E127CA"/>
    <w:rsid w:val="00E52E31"/>
    <w:rsid w:val="00E87AA3"/>
    <w:rsid w:val="00ED4D45"/>
    <w:rsid w:val="00EF390D"/>
    <w:rsid w:val="00F7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9 месяцев 2012 г.</dc:subject>
  <dc:creator>Колобова Т.О.</dc:creator>
  <cp:lastModifiedBy>Колобова Т.О.</cp:lastModifiedBy>
  <cp:revision>6</cp:revision>
  <cp:lastPrinted>2012-10-18T13:09:00Z</cp:lastPrinted>
  <dcterms:created xsi:type="dcterms:W3CDTF">2017-05-11T09:43:00Z</dcterms:created>
  <dcterms:modified xsi:type="dcterms:W3CDTF">2017-05-11T13:07:00Z</dcterms:modified>
</cp:coreProperties>
</file>